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b/>
          <w:color w:val="000000"/>
          <w:sz w:val="40"/>
          <w:szCs w:val="32"/>
        </w:rPr>
      </w:pPr>
      <w:bookmarkStart w:id="0" w:name="OLE_LINK3"/>
      <w:bookmarkStart w:id="1" w:name="OLE_LINK2"/>
      <w:bookmarkStart w:id="2" w:name="OLE_LINK8"/>
      <w:bookmarkStart w:id="3" w:name="OLE_LINK7"/>
      <w:r>
        <w:rPr>
          <w:rFonts w:hint="eastAsia" w:ascii="仿宋_GB2312" w:eastAsia="仿宋_GB2312"/>
          <w:b/>
          <w:color w:val="000000"/>
          <w:sz w:val="40"/>
          <w:szCs w:val="32"/>
        </w:rPr>
        <w:t>广州交通投资集团</w:t>
      </w:r>
    </w:p>
    <w:p>
      <w:pPr>
        <w:spacing w:line="560" w:lineRule="exact"/>
        <w:jc w:val="center"/>
        <w:rPr>
          <w:rFonts w:ascii="仿宋_GB2312" w:eastAsia="仿宋_GB2312"/>
          <w:b/>
          <w:color w:val="000000"/>
          <w:sz w:val="40"/>
          <w:szCs w:val="32"/>
        </w:rPr>
      </w:pPr>
      <w:r>
        <w:rPr>
          <w:rFonts w:hint="eastAsia" w:ascii="仿宋_GB2312" w:eastAsia="仿宋_GB2312"/>
          <w:b/>
          <w:color w:val="000000"/>
          <w:sz w:val="40"/>
          <w:szCs w:val="32"/>
        </w:rPr>
        <w:t>广州市公路工程公司20</w:t>
      </w:r>
      <w:r>
        <w:rPr>
          <w:rFonts w:hint="eastAsia" w:ascii="仿宋_GB2312" w:eastAsia="仿宋_GB2312"/>
          <w:b/>
          <w:color w:val="000000"/>
          <w:sz w:val="40"/>
          <w:szCs w:val="32"/>
          <w:lang w:val="en-US" w:eastAsia="zh-CN"/>
        </w:rPr>
        <w:t>20</w:t>
      </w:r>
      <w:r>
        <w:rPr>
          <w:rFonts w:hint="eastAsia" w:ascii="仿宋_GB2312" w:eastAsia="仿宋_GB2312"/>
          <w:b/>
          <w:color w:val="000000"/>
          <w:sz w:val="40"/>
          <w:szCs w:val="32"/>
        </w:rPr>
        <w:t>年校园招聘简章</w:t>
      </w:r>
    </w:p>
    <w:p>
      <w:pPr>
        <w:spacing w:line="560" w:lineRule="exact"/>
        <w:ind w:firstLine="480" w:firstLineChars="150"/>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【集团介绍】</w:t>
      </w:r>
    </w:p>
    <w:bookmarkEnd w:id="0"/>
    <w:bookmarkEnd w:id="1"/>
    <w:p>
      <w:pPr>
        <w:ind w:firstLine="420" w:firstLineChars="15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广州市公路工程公司隶属于广州国资委属下广州交通投资集团有限公司（网址： http://www.gjtjt.cn）。广州交通投资集团有限公司，是2008年8月成立的国有独资公司，总资产规模1196亿元，员工总数5000余人，主要从事高速公路、城市快速路、机场、城际轨道等现代交通基础设施的投融资、建设和运营管理，是广州交通基础设施行业龙头企业、广州市首批认定总部企业、广东省500强企业。未来几年，集团将秉承“为广州建设大交通，让员工生活更愉快”的企业宗旨，坚持以高（快）速路投资、建设和营运管理为主营业务，推动集团由高速公路投资逐渐向高快速路投资、航空产业投资等齐头并进的发展格局转变，努力将集团建成集公路、航空和沿线土地投融资、建设、运营于一体的综合性大型交通企业集团。</w:t>
      </w:r>
    </w:p>
    <w:p>
      <w:pPr>
        <w:spacing w:line="560" w:lineRule="exact"/>
        <w:ind w:firstLine="480" w:firstLineChars="150"/>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【公司介绍】</w:t>
      </w:r>
    </w:p>
    <w:p>
      <w:pPr>
        <w:spacing w:line="56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广州市公路工程公司始创于1984年，属于全资国有企业，是目前广东省大型的公路、桥梁机械化施工企业之一，从事公路、桥梁、市政、构件预制等项目的施工和高速公路养护、保洁、试验检测业务，具有公路工程施工总承包</w:t>
      </w:r>
      <w:r>
        <w:rPr>
          <w:rFonts w:hint="eastAsia" w:ascii="微软雅黑" w:hAnsi="微软雅黑" w:eastAsia="微软雅黑" w:cs="微软雅黑"/>
          <w:b/>
          <w:color w:val="000000"/>
          <w:sz w:val="28"/>
          <w:szCs w:val="28"/>
        </w:rPr>
        <w:t>特级</w:t>
      </w:r>
      <w:r>
        <w:rPr>
          <w:rFonts w:hint="eastAsia" w:ascii="微软雅黑" w:hAnsi="微软雅黑" w:eastAsia="微软雅黑" w:cs="微软雅黑"/>
          <w:color w:val="000000"/>
          <w:sz w:val="28"/>
          <w:szCs w:val="28"/>
        </w:rPr>
        <w:t>资质</w:t>
      </w:r>
      <w:r>
        <w:rPr>
          <w:rFonts w:hint="eastAsia" w:ascii="微软雅黑" w:hAnsi="微软雅黑" w:eastAsia="微软雅黑" w:cs="微软雅黑"/>
          <w:color w:val="000000"/>
          <w:sz w:val="28"/>
          <w:szCs w:val="28"/>
          <w:lang w:eastAsia="zh-CN"/>
        </w:rPr>
        <w:t>、</w:t>
      </w:r>
      <w:r>
        <w:rPr>
          <w:rFonts w:hint="eastAsia" w:ascii="微软雅黑" w:hAnsi="微软雅黑" w:eastAsia="微软雅黑" w:cs="微软雅黑"/>
          <w:color w:val="000000"/>
          <w:sz w:val="28"/>
          <w:szCs w:val="28"/>
        </w:rPr>
        <w:t>公路行业</w:t>
      </w:r>
      <w:r>
        <w:rPr>
          <w:rFonts w:hint="eastAsia" w:ascii="微软雅黑" w:hAnsi="微软雅黑" w:eastAsia="微软雅黑" w:cs="微软雅黑"/>
          <w:b/>
          <w:bCs/>
          <w:color w:val="000000"/>
          <w:sz w:val="28"/>
          <w:szCs w:val="28"/>
        </w:rPr>
        <w:t>甲级</w:t>
      </w:r>
      <w:r>
        <w:rPr>
          <w:rFonts w:hint="eastAsia" w:ascii="微软雅黑" w:hAnsi="微软雅黑" w:eastAsia="微软雅黑" w:cs="微软雅黑"/>
          <w:color w:val="000000"/>
          <w:sz w:val="28"/>
          <w:szCs w:val="28"/>
        </w:rPr>
        <w:t>设计资质，公路路基、公路路面、桥梁工程专业承包一级资质及市政公用工程施工总承包一级资质。公司三个分公司及一家全资子公司，公司连续7年获得广东省公路水运工程施工、监理和材料从业单位信用评价最高级别AA级资质。</w:t>
      </w:r>
    </w:p>
    <w:p>
      <w:pPr>
        <w:spacing w:line="560" w:lineRule="exact"/>
        <w:ind w:firstLine="480" w:firstLineChars="150"/>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【招聘岗位】</w:t>
      </w:r>
    </w:p>
    <w:p>
      <w:pPr>
        <w:spacing w:line="560" w:lineRule="exact"/>
        <w:ind w:firstLine="300" w:firstLineChars="150"/>
        <w:jc w:val="center"/>
        <w:rPr>
          <w:rFonts w:hint="eastAsia" w:ascii="微软雅黑" w:hAnsi="微软雅黑" w:eastAsia="微软雅黑"/>
          <w:b/>
          <w:color w:val="000000"/>
          <w:sz w:val="20"/>
          <w:szCs w:val="18"/>
        </w:rPr>
      </w:pPr>
    </w:p>
    <w:tbl>
      <w:tblPr>
        <w:tblStyle w:val="7"/>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52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bCs w:val="0"/>
                <w:color w:val="auto"/>
                <w:sz w:val="24"/>
                <w:szCs w:val="24"/>
              </w:rPr>
              <w:t>岗位</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bCs w:val="0"/>
                <w:color w:val="auto"/>
                <w:sz w:val="24"/>
                <w:szCs w:val="24"/>
              </w:rPr>
              <w:t>专业要求</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bCs w:val="0"/>
                <w:color w:val="auto"/>
                <w:sz w:val="24"/>
                <w:szCs w:val="24"/>
              </w:rPr>
              <w:t>学历要求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工程管理</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土木工程、道路桥梁、市政工程等相关专业</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机材管理</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工程机械、材料科学与工程等相关专业</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工程设计</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结构、隧道、道路桥梁、交通工程等相关专业</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工程安全管理</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工程安全管理等相关专业</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工程审计</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工程造价、工程管理、道路桥梁等相关专业</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试验检测管理</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土木工程、材料工程、道路桥梁等相关专业</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4"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宣传文秘</w:t>
            </w:r>
          </w:p>
        </w:tc>
        <w:tc>
          <w:tcPr>
            <w:tcW w:w="5250"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汉语言文学、新闻学、中文等相关专业</w:t>
            </w:r>
          </w:p>
        </w:tc>
        <w:tc>
          <w:tcPr>
            <w:tcW w:w="1785" w:type="dxa"/>
            <w:vAlign w:val="center"/>
          </w:tcPr>
          <w:p>
            <w:pPr>
              <w:pStyle w:val="5"/>
              <w:keepNext w:val="0"/>
              <w:keepLines w:val="0"/>
              <w:widowControl/>
              <w:suppressLineNumbers w:val="0"/>
              <w:ind w:left="0" w:leftChars="0" w:right="0" w:rightChars="0"/>
              <w:jc w:val="center"/>
              <w:rPr>
                <w:rFonts w:hint="eastAsia" w:ascii="微软雅黑" w:hAnsi="微软雅黑" w:eastAsia="微软雅黑"/>
                <w:b/>
                <w:color w:val="000000"/>
                <w:sz w:val="32"/>
                <w:szCs w:val="28"/>
                <w:vertAlign w:val="baseline"/>
              </w:rPr>
            </w:pPr>
            <w:r>
              <w:rPr>
                <w:rFonts w:hint="eastAsia" w:ascii="仿宋" w:hAnsi="仿宋" w:eastAsia="仿宋" w:cs="仿宋"/>
                <w:b w:val="0"/>
                <w:bCs/>
                <w:color w:val="000000"/>
                <w:sz w:val="24"/>
                <w:szCs w:val="24"/>
              </w:rPr>
              <w:t>本科及以上</w:t>
            </w:r>
          </w:p>
        </w:tc>
      </w:tr>
    </w:tbl>
    <w:p>
      <w:pPr>
        <w:spacing w:line="560" w:lineRule="exact"/>
        <w:ind w:firstLine="195" w:firstLineChars="150"/>
        <w:jc w:val="center"/>
        <w:rPr>
          <w:rFonts w:hint="eastAsia" w:ascii="微软雅黑" w:hAnsi="微软雅黑" w:eastAsia="微软雅黑"/>
          <w:b/>
          <w:color w:val="000000"/>
          <w:sz w:val="13"/>
          <w:szCs w:val="11"/>
        </w:rPr>
      </w:pPr>
    </w:p>
    <w:p>
      <w:pPr>
        <w:spacing w:line="560" w:lineRule="exact"/>
        <w:ind w:firstLine="480" w:firstLineChars="150"/>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【薪资福利】</w:t>
      </w:r>
    </w:p>
    <w:p>
      <w:pPr>
        <w:numPr>
          <w:ilvl w:val="0"/>
          <w:numId w:val="1"/>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提供行业内有竞争力的薪酬待遇，211、985高校本科第一年7500元/月，研究生8500元/月，其他高校本科5000-6500元/月，研究生6000-7500元/月。</w:t>
      </w:r>
    </w:p>
    <w:p>
      <w:pPr>
        <w:numPr>
          <w:ilvl w:val="0"/>
          <w:numId w:val="1"/>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享有五险一金的基础上，公司还为员工购买重大疾病险、补充医疗保险，住房货币补贴等福利。 </w:t>
      </w:r>
    </w:p>
    <w:p>
      <w:pPr>
        <w:numPr>
          <w:ilvl w:val="0"/>
          <w:numId w:val="1"/>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享有国家规定的年休假。企业食堂提供免费餐饮。</w:t>
      </w:r>
    </w:p>
    <w:p>
      <w:pPr>
        <w:numPr>
          <w:ilvl w:val="0"/>
          <w:numId w:val="1"/>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享受过节福利、工会福利、生日福利、免费年度健康体检等。</w:t>
      </w:r>
    </w:p>
    <w:p>
      <w:pPr>
        <w:numPr>
          <w:ilvl w:val="0"/>
          <w:numId w:val="1"/>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除在项目上提供宿舍外，另在广州市区免费提供单身宿舍。</w:t>
      </w:r>
    </w:p>
    <w:p>
      <w:pPr>
        <w:numPr>
          <w:ilvl w:val="0"/>
          <w:numId w:val="1"/>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解决广州市户口。</w:t>
      </w:r>
    </w:p>
    <w:p>
      <w:pPr>
        <w:numPr>
          <w:ilvl w:val="0"/>
          <w:numId w:val="1"/>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丰富的文体设施：游泳池、足球场、乒乓球场、羽毛球场、篮球场、网球场等，丰富的党工团活动。 </w:t>
      </w:r>
    </w:p>
    <w:p>
      <w:pPr>
        <w:ind w:firstLine="420" w:firstLineChars="150"/>
        <w:rPr>
          <w:rFonts w:hint="eastAsia" w:ascii="微软雅黑" w:hAnsi="微软雅黑" w:eastAsia="微软雅黑" w:cs="微软雅黑"/>
          <w:color w:val="000000"/>
          <w:sz w:val="28"/>
          <w:szCs w:val="28"/>
        </w:rPr>
      </w:pPr>
    </w:p>
    <w:p>
      <w:pPr>
        <w:spacing w:line="560" w:lineRule="exact"/>
        <w:ind w:firstLine="480" w:firstLineChars="150"/>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【职业发展】</w:t>
      </w:r>
    </w:p>
    <w:p>
      <w:pPr>
        <w:pStyle w:val="12"/>
        <w:numPr>
          <w:ilvl w:val="0"/>
          <w:numId w:val="2"/>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职业规划：公司为每个新入职管理人员量身定制个人职业发展规划，让员工在工作中承担具体的工作任务，建立明确的工作职责和发展目标。</w:t>
      </w:r>
    </w:p>
    <w:p>
      <w:pPr>
        <w:pStyle w:val="12"/>
        <w:numPr>
          <w:ilvl w:val="0"/>
          <w:numId w:val="2"/>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轮岗机制：在员工发展过程中提供工作轮岗的机会，提升对公司业务、管理的认知，提升员工综合能力和素质。</w:t>
      </w:r>
    </w:p>
    <w:p>
      <w:pPr>
        <w:pStyle w:val="12"/>
        <w:numPr>
          <w:ilvl w:val="0"/>
          <w:numId w:val="2"/>
        </w:numPr>
        <w:ind w:left="420" w:leftChars="0" w:hanging="420"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“一对一”结对子导师制：建立清晰明确的导师制关系，导师是学员培养的直接责任</w:t>
      </w:r>
      <w:bookmarkStart w:id="6" w:name="_GoBack"/>
      <w:bookmarkEnd w:id="6"/>
      <w:r>
        <w:rPr>
          <w:rFonts w:hint="eastAsia" w:ascii="微软雅黑" w:hAnsi="微软雅黑" w:eastAsia="微软雅黑" w:cs="微软雅黑"/>
          <w:color w:val="000000"/>
          <w:sz w:val="28"/>
          <w:szCs w:val="28"/>
        </w:rPr>
        <w:t>人，结成“一对一”辅导关系，使新员工快速融入公司、胜任岗位工作。</w:t>
      </w:r>
    </w:p>
    <w:p>
      <w:pPr>
        <w:pStyle w:val="12"/>
        <w:numPr>
          <w:ilvl w:val="0"/>
          <w:numId w:val="0"/>
        </w:numPr>
        <w:ind w:leftChars="0"/>
        <w:rPr>
          <w:rFonts w:hint="eastAsia" w:ascii="微软雅黑" w:hAnsi="微软雅黑" w:eastAsia="微软雅黑" w:cs="微软雅黑"/>
          <w:color w:val="000000"/>
          <w:sz w:val="28"/>
          <w:szCs w:val="28"/>
        </w:rPr>
      </w:pPr>
    </w:p>
    <w:p>
      <w:pPr>
        <w:pStyle w:val="12"/>
        <w:spacing w:line="560" w:lineRule="exact"/>
        <w:ind w:left="700" w:firstLine="0" w:firstLineChars="0"/>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【联系方式】</w:t>
      </w:r>
    </w:p>
    <w:p>
      <w:pPr>
        <w:pStyle w:val="12"/>
        <w:numPr>
          <w:ilvl w:val="0"/>
          <w:numId w:val="3"/>
        </w:numPr>
        <w:spacing w:line="560" w:lineRule="exact"/>
        <w:ind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网上投递简历：</w:t>
      </w:r>
      <w:bookmarkStart w:id="4" w:name="OLE_LINK1"/>
      <w:bookmarkStart w:id="5" w:name="OLE_LINK4"/>
      <w:r>
        <w:rPr>
          <w:rFonts w:hint="eastAsia" w:ascii="微软雅黑" w:hAnsi="微软雅黑" w:eastAsia="微软雅黑" w:cs="微软雅黑"/>
          <w:color w:val="000000"/>
          <w:sz w:val="28"/>
          <w:szCs w:val="28"/>
        </w:rPr>
        <w:t>简历投递邮箱：</w:t>
      </w:r>
      <w:r>
        <w:rPr>
          <w:rFonts w:hint="eastAsia" w:ascii="微软雅黑" w:hAnsi="微软雅黑" w:eastAsia="微软雅黑" w:cs="微软雅黑"/>
          <w:sz w:val="28"/>
          <w:szCs w:val="28"/>
          <w:lang w:val="en-US" w:eastAsia="zh-CN"/>
        </w:rPr>
        <w:t>GZGL1984@163.COM</w:t>
      </w:r>
      <w:r>
        <w:rPr>
          <w:rFonts w:hint="eastAsia" w:ascii="微软雅黑" w:hAnsi="微软雅黑" w:eastAsia="微软雅黑" w:cs="微软雅黑"/>
          <w:sz w:val="28"/>
          <w:szCs w:val="28"/>
        </w:rPr>
        <w:t>（广州公路首字母1984）</w:t>
      </w:r>
      <w:r>
        <w:rPr>
          <w:rFonts w:hint="eastAsia" w:ascii="微软雅黑" w:hAnsi="微软雅黑" w:eastAsia="微软雅黑" w:cs="微软雅黑"/>
          <w:color w:val="000000"/>
          <w:sz w:val="28"/>
          <w:szCs w:val="28"/>
        </w:rPr>
        <w:t>，邮件标题注明姓名、学校专业、应聘岗位</w:t>
      </w:r>
      <w:bookmarkEnd w:id="4"/>
      <w:bookmarkEnd w:id="5"/>
      <w:r>
        <w:rPr>
          <w:rFonts w:hint="eastAsia" w:ascii="微软雅黑" w:hAnsi="微软雅黑" w:eastAsia="微软雅黑" w:cs="微软雅黑"/>
          <w:color w:val="000000"/>
          <w:sz w:val="28"/>
          <w:szCs w:val="28"/>
        </w:rPr>
        <w:t>。</w:t>
      </w:r>
    </w:p>
    <w:p>
      <w:pPr>
        <w:pStyle w:val="12"/>
        <w:numPr>
          <w:ilvl w:val="0"/>
          <w:numId w:val="3"/>
        </w:numPr>
        <w:spacing w:line="560" w:lineRule="exact"/>
        <w:ind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公司会在各高校开展校园宣讲，现场举行笔试、面试、测评，合格者可现场签订初步意向协议，具体请关注学校、学院就业信息网/就业交流群。</w:t>
      </w:r>
    </w:p>
    <w:p>
      <w:pPr>
        <w:pStyle w:val="12"/>
        <w:numPr>
          <w:ilvl w:val="0"/>
          <w:numId w:val="3"/>
        </w:numPr>
        <w:spacing w:line="560" w:lineRule="exact"/>
        <w:ind w:firstLineChars="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联系电话：肖经理</w:t>
      </w:r>
      <w:r>
        <w:rPr>
          <w:rFonts w:hint="eastAsia" w:ascii="微软雅黑" w:hAnsi="微软雅黑" w:eastAsia="微软雅黑" w:cs="微软雅黑"/>
          <w:color w:val="000000"/>
          <w:sz w:val="28"/>
          <w:szCs w:val="28"/>
          <w:lang w:eastAsia="zh-CN"/>
        </w:rPr>
        <w:t>，</w:t>
      </w:r>
      <w:r>
        <w:rPr>
          <w:rFonts w:hint="eastAsia" w:ascii="微软雅黑" w:hAnsi="微软雅黑" w:eastAsia="微软雅黑" w:cs="微软雅黑"/>
          <w:color w:val="000000"/>
          <w:sz w:val="28"/>
          <w:szCs w:val="28"/>
        </w:rPr>
        <w:t>131-6839-8280</w:t>
      </w:r>
      <w:r>
        <w:rPr>
          <w:rFonts w:hint="eastAsia" w:ascii="微软雅黑" w:hAnsi="微软雅黑" w:eastAsia="微软雅黑" w:cs="微软雅黑"/>
          <w:color w:val="000000"/>
          <w:sz w:val="28"/>
          <w:szCs w:val="28"/>
          <w:lang w:eastAsia="zh-CN"/>
        </w:rPr>
        <w:t>；余主管，</w:t>
      </w:r>
      <w:r>
        <w:rPr>
          <w:rFonts w:hint="eastAsia" w:ascii="微软雅黑" w:hAnsi="微软雅黑" w:eastAsia="微软雅黑" w:cs="微软雅黑"/>
          <w:color w:val="000000"/>
          <w:sz w:val="28"/>
          <w:szCs w:val="28"/>
          <w:lang w:val="en-US" w:eastAsia="zh-CN"/>
        </w:rPr>
        <w:t>136-1019-1646</w:t>
      </w:r>
      <w:r>
        <w:rPr>
          <w:rFonts w:hint="eastAsia" w:ascii="微软雅黑" w:hAnsi="微软雅黑" w:eastAsia="微软雅黑" w:cs="微软雅黑"/>
          <w:color w:val="000000"/>
          <w:sz w:val="28"/>
          <w:szCs w:val="28"/>
          <w:lang w:eastAsia="zh-CN"/>
        </w:rPr>
        <w:t>。</w:t>
      </w:r>
    </w:p>
    <w:bookmarkEnd w:id="2"/>
    <w:bookmarkEnd w:id="3"/>
    <w:p>
      <w:pPr>
        <w:spacing w:line="560" w:lineRule="exact"/>
        <w:ind w:firstLine="560" w:firstLineChars="200"/>
        <w:rPr>
          <w:rFonts w:hint="eastAsia" w:ascii="微软雅黑" w:hAnsi="微软雅黑" w:eastAsia="微软雅黑" w:cs="微软雅黑"/>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方正仿宋_GB2312">
    <w:panose1 w:val="02010600010101010101"/>
    <w:charset w:val="86"/>
    <w:family w:val="auto"/>
    <w:pitch w:val="default"/>
    <w:sig w:usb0="00000001" w:usb1="080E0000" w:usb2="00000000" w:usb3="00000000" w:csb0="00040000" w:csb1="00000000"/>
  </w:font>
  <w:font w:name="方正盗将行">
    <w:panose1 w:val="02010600010101010101"/>
    <w:charset w:val="86"/>
    <w:family w:val="auto"/>
    <w:pitch w:val="default"/>
    <w:sig w:usb0="A00002BF" w:usb1="08CF6CFB" w:usb2="00000012" w:usb3="00000000" w:csb0="00040001" w:csb1="00000000"/>
  </w:font>
  <w:font w:name="芒果慕斯">
    <w:panose1 w:val="02010600010101010101"/>
    <w:charset w:val="86"/>
    <w:family w:val="auto"/>
    <w:pitch w:val="default"/>
    <w:sig w:usb0="00000283" w:usb1="080F0C10" w:usb2="00000012" w:usb3="00000000" w:csb0="00140001" w:csb1="00000000"/>
  </w:font>
  <w:font w:name="微软雅黑 Light">
    <w:panose1 w:val="020B0502040204020203"/>
    <w:charset w:val="86"/>
    <w:family w:val="auto"/>
    <w:pitch w:val="default"/>
    <w:sig w:usb0="80000287" w:usb1="2ACF0010" w:usb2="00000016" w:usb3="00000000" w:csb0="0004001F" w:csb1="00000000"/>
  </w:font>
  <w:font w:name="方正中等线简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印品雅圆体">
    <w:panose1 w:val="02010601030101010101"/>
    <w:charset w:val="86"/>
    <w:family w:val="auto"/>
    <w:pitch w:val="default"/>
    <w:sig w:usb0="8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2FCAC"/>
    <w:multiLevelType w:val="singleLevel"/>
    <w:tmpl w:val="CAD2FCAC"/>
    <w:lvl w:ilvl="0" w:tentative="0">
      <w:start w:val="1"/>
      <w:numFmt w:val="bullet"/>
      <w:lvlText w:val=""/>
      <w:lvlJc w:val="left"/>
      <w:pPr>
        <w:ind w:left="420" w:hanging="420"/>
      </w:pPr>
      <w:rPr>
        <w:rFonts w:hint="default" w:ascii="Wingdings" w:hAnsi="Wingdings"/>
      </w:rPr>
    </w:lvl>
  </w:abstractNum>
  <w:abstractNum w:abstractNumId="1">
    <w:nsid w:val="E45B30DC"/>
    <w:multiLevelType w:val="singleLevel"/>
    <w:tmpl w:val="E45B30DC"/>
    <w:lvl w:ilvl="0" w:tentative="0">
      <w:start w:val="1"/>
      <w:numFmt w:val="bullet"/>
      <w:lvlText w:val=""/>
      <w:lvlJc w:val="left"/>
      <w:pPr>
        <w:ind w:left="420" w:hanging="420"/>
      </w:pPr>
      <w:rPr>
        <w:rFonts w:hint="default" w:ascii="Wingdings" w:hAnsi="Wingdings"/>
      </w:rPr>
    </w:lvl>
  </w:abstractNum>
  <w:abstractNum w:abstractNumId="2">
    <w:nsid w:val="44D9751C"/>
    <w:multiLevelType w:val="multilevel"/>
    <w:tmpl w:val="44D9751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A6F"/>
    <w:rsid w:val="00001AB9"/>
    <w:rsid w:val="00032A2B"/>
    <w:rsid w:val="000552EE"/>
    <w:rsid w:val="000558FC"/>
    <w:rsid w:val="000572D5"/>
    <w:rsid w:val="00084ABD"/>
    <w:rsid w:val="00094F04"/>
    <w:rsid w:val="00096BE4"/>
    <w:rsid w:val="000C68CA"/>
    <w:rsid w:val="000F20AC"/>
    <w:rsid w:val="0014675F"/>
    <w:rsid w:val="00155843"/>
    <w:rsid w:val="00155876"/>
    <w:rsid w:val="0016051D"/>
    <w:rsid w:val="001871A7"/>
    <w:rsid w:val="00193155"/>
    <w:rsid w:val="001A15FE"/>
    <w:rsid w:val="001D63B8"/>
    <w:rsid w:val="001E0FEA"/>
    <w:rsid w:val="00203DAA"/>
    <w:rsid w:val="00211460"/>
    <w:rsid w:val="00214E24"/>
    <w:rsid w:val="00220C0F"/>
    <w:rsid w:val="002505B7"/>
    <w:rsid w:val="00254F11"/>
    <w:rsid w:val="002555B0"/>
    <w:rsid w:val="00261FA8"/>
    <w:rsid w:val="00277D06"/>
    <w:rsid w:val="00285565"/>
    <w:rsid w:val="00294F48"/>
    <w:rsid w:val="00296DF4"/>
    <w:rsid w:val="002B2BEF"/>
    <w:rsid w:val="002D7C1E"/>
    <w:rsid w:val="00330580"/>
    <w:rsid w:val="00346A6B"/>
    <w:rsid w:val="00372E42"/>
    <w:rsid w:val="003751A9"/>
    <w:rsid w:val="003A3BFE"/>
    <w:rsid w:val="003A55C9"/>
    <w:rsid w:val="003A5720"/>
    <w:rsid w:val="003A613B"/>
    <w:rsid w:val="003D3319"/>
    <w:rsid w:val="003F0D4E"/>
    <w:rsid w:val="003F38F1"/>
    <w:rsid w:val="003F5FF7"/>
    <w:rsid w:val="004010D8"/>
    <w:rsid w:val="00415803"/>
    <w:rsid w:val="004261B4"/>
    <w:rsid w:val="00431436"/>
    <w:rsid w:val="004519A2"/>
    <w:rsid w:val="00452FD8"/>
    <w:rsid w:val="00457E68"/>
    <w:rsid w:val="0047383F"/>
    <w:rsid w:val="00494826"/>
    <w:rsid w:val="0049702E"/>
    <w:rsid w:val="004A0F74"/>
    <w:rsid w:val="004B2300"/>
    <w:rsid w:val="004B3186"/>
    <w:rsid w:val="004E27E3"/>
    <w:rsid w:val="0050722B"/>
    <w:rsid w:val="00510FB8"/>
    <w:rsid w:val="00515625"/>
    <w:rsid w:val="00522078"/>
    <w:rsid w:val="00523C4E"/>
    <w:rsid w:val="005258AF"/>
    <w:rsid w:val="005357BB"/>
    <w:rsid w:val="00540BE8"/>
    <w:rsid w:val="00563B80"/>
    <w:rsid w:val="00565C90"/>
    <w:rsid w:val="00586AF6"/>
    <w:rsid w:val="005A0214"/>
    <w:rsid w:val="005A2935"/>
    <w:rsid w:val="005C4637"/>
    <w:rsid w:val="005D773C"/>
    <w:rsid w:val="005D7F8D"/>
    <w:rsid w:val="006062AC"/>
    <w:rsid w:val="00607E29"/>
    <w:rsid w:val="006104A8"/>
    <w:rsid w:val="0061536F"/>
    <w:rsid w:val="00616834"/>
    <w:rsid w:val="006339F3"/>
    <w:rsid w:val="00643E1B"/>
    <w:rsid w:val="00660A54"/>
    <w:rsid w:val="00697446"/>
    <w:rsid w:val="006E44F2"/>
    <w:rsid w:val="00701287"/>
    <w:rsid w:val="00704A78"/>
    <w:rsid w:val="0073148B"/>
    <w:rsid w:val="007B4948"/>
    <w:rsid w:val="007B7CF2"/>
    <w:rsid w:val="007D59E7"/>
    <w:rsid w:val="007E3CDC"/>
    <w:rsid w:val="007E4BA6"/>
    <w:rsid w:val="007F156C"/>
    <w:rsid w:val="007F4D27"/>
    <w:rsid w:val="008127DC"/>
    <w:rsid w:val="008137CA"/>
    <w:rsid w:val="0086133B"/>
    <w:rsid w:val="00863AE0"/>
    <w:rsid w:val="00880A6F"/>
    <w:rsid w:val="00897141"/>
    <w:rsid w:val="008B332A"/>
    <w:rsid w:val="008D6A69"/>
    <w:rsid w:val="008E47B3"/>
    <w:rsid w:val="0090234E"/>
    <w:rsid w:val="009150BD"/>
    <w:rsid w:val="009246CB"/>
    <w:rsid w:val="00925488"/>
    <w:rsid w:val="00981646"/>
    <w:rsid w:val="009A1C1D"/>
    <w:rsid w:val="009A4854"/>
    <w:rsid w:val="009C0B12"/>
    <w:rsid w:val="009D2268"/>
    <w:rsid w:val="009D59EF"/>
    <w:rsid w:val="00A01101"/>
    <w:rsid w:val="00A17714"/>
    <w:rsid w:val="00A21876"/>
    <w:rsid w:val="00A36EB2"/>
    <w:rsid w:val="00A456C6"/>
    <w:rsid w:val="00A4627A"/>
    <w:rsid w:val="00A472DD"/>
    <w:rsid w:val="00A55215"/>
    <w:rsid w:val="00A72E5A"/>
    <w:rsid w:val="00A8573A"/>
    <w:rsid w:val="00A97FB2"/>
    <w:rsid w:val="00AA0165"/>
    <w:rsid w:val="00AD4CF8"/>
    <w:rsid w:val="00AE511D"/>
    <w:rsid w:val="00AF29AA"/>
    <w:rsid w:val="00AF63AD"/>
    <w:rsid w:val="00B05532"/>
    <w:rsid w:val="00B07FBE"/>
    <w:rsid w:val="00B5748B"/>
    <w:rsid w:val="00B610B6"/>
    <w:rsid w:val="00B61EF9"/>
    <w:rsid w:val="00BE43A8"/>
    <w:rsid w:val="00BE5B06"/>
    <w:rsid w:val="00BF6634"/>
    <w:rsid w:val="00C55EE8"/>
    <w:rsid w:val="00C6283E"/>
    <w:rsid w:val="00C804DD"/>
    <w:rsid w:val="00C85999"/>
    <w:rsid w:val="00C93DEA"/>
    <w:rsid w:val="00C95489"/>
    <w:rsid w:val="00CC58AE"/>
    <w:rsid w:val="00CC5B57"/>
    <w:rsid w:val="00CE70C9"/>
    <w:rsid w:val="00D00EB5"/>
    <w:rsid w:val="00D15BA5"/>
    <w:rsid w:val="00D22848"/>
    <w:rsid w:val="00D26A88"/>
    <w:rsid w:val="00D27D76"/>
    <w:rsid w:val="00D5096C"/>
    <w:rsid w:val="00D57513"/>
    <w:rsid w:val="00D77E4B"/>
    <w:rsid w:val="00D83F35"/>
    <w:rsid w:val="00DA7AF0"/>
    <w:rsid w:val="00DB73C0"/>
    <w:rsid w:val="00DC1C2F"/>
    <w:rsid w:val="00DC61A3"/>
    <w:rsid w:val="00DE61D0"/>
    <w:rsid w:val="00DF0291"/>
    <w:rsid w:val="00E13245"/>
    <w:rsid w:val="00E93F42"/>
    <w:rsid w:val="00EB3803"/>
    <w:rsid w:val="00EB6F1B"/>
    <w:rsid w:val="00EC325C"/>
    <w:rsid w:val="00EE5F2D"/>
    <w:rsid w:val="00F0313B"/>
    <w:rsid w:val="00F07E66"/>
    <w:rsid w:val="00F369EE"/>
    <w:rsid w:val="00F517C2"/>
    <w:rsid w:val="00F618C3"/>
    <w:rsid w:val="00F6732F"/>
    <w:rsid w:val="00F763AE"/>
    <w:rsid w:val="00F91B21"/>
    <w:rsid w:val="00F95B6F"/>
    <w:rsid w:val="00FA695A"/>
    <w:rsid w:val="00FA7724"/>
    <w:rsid w:val="00FE40A9"/>
    <w:rsid w:val="02C27C59"/>
    <w:rsid w:val="06533CCE"/>
    <w:rsid w:val="17AB352F"/>
    <w:rsid w:val="20D8400F"/>
    <w:rsid w:val="21D1431F"/>
    <w:rsid w:val="22492CCD"/>
    <w:rsid w:val="341975C2"/>
    <w:rsid w:val="46DF6675"/>
    <w:rsid w:val="4D5341B9"/>
    <w:rsid w:val="51FA660A"/>
    <w:rsid w:val="544D49B5"/>
    <w:rsid w:val="5B8B3C53"/>
    <w:rsid w:val="696751F4"/>
    <w:rsid w:val="6C5D2FF5"/>
    <w:rsid w:val="74E42531"/>
    <w:rsid w:val="76733E0C"/>
    <w:rsid w:val="7A974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189</Words>
  <Characters>1083</Characters>
  <Lines>9</Lines>
  <Paragraphs>2</Paragraphs>
  <TotalTime>67</TotalTime>
  <ScaleCrop>false</ScaleCrop>
  <LinksUpToDate>false</LinksUpToDate>
  <CharactersWithSpaces>1270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2018-11-08T07:22:00Z</dcterms:created>
  <dc:creator>刘婕</dc:creator>
  <cp:lastModifiedBy>余昕恬</cp:lastModifiedBy>
  <cp:lastPrinted>2018-03-06T01:50:00Z</cp:lastPrinted>
  <dcterms:modified xsi:type="dcterms:W3CDTF">2019-09-09T03:42:11Z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