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default" w:ascii="宋体" w:hAnsi="宋体" w:eastAsia="宋体" w:cs="宋体"/>
          <w:b/>
          <w:bCs/>
          <w:color w:val="auto"/>
          <w:sz w:val="28"/>
          <w:szCs w:val="28"/>
          <w:shd w:val="clear" w:color="auto" w:fill="auto"/>
          <w:lang w:val="en-US" w:eastAsia="zh-CN"/>
        </w:rPr>
      </w:pPr>
      <w:r>
        <w:rPr>
          <w:rFonts w:hint="eastAsia" w:ascii="宋体" w:hAnsi="宋体" w:cs="宋体"/>
          <w:b/>
          <w:bCs/>
          <w:color w:val="auto"/>
          <w:sz w:val="28"/>
          <w:szCs w:val="28"/>
          <w:shd w:val="clear" w:color="auto" w:fill="auto"/>
          <w:lang w:val="en-US" w:eastAsia="zh-CN"/>
        </w:rPr>
        <w:t>一、评分细则</w:t>
      </w:r>
    </w:p>
    <w:p>
      <w:pPr>
        <w:numPr>
          <w:ilvl w:val="0"/>
          <w:numId w:val="0"/>
        </w:numPr>
        <w:spacing w:line="360" w:lineRule="auto"/>
        <w:ind w:firstLine="480" w:firstLineChars="200"/>
        <w:rPr>
          <w:rFonts w:hint="eastAsia" w:ascii="宋体" w:hAnsi="宋体" w:eastAsia="宋体" w:cs="宋体"/>
          <w:color w:val="auto"/>
          <w:sz w:val="24"/>
          <w:szCs w:val="48"/>
          <w:shd w:val="clear" w:color="auto" w:fill="auto"/>
          <w:lang w:val="en-US" w:eastAsia="zh-CN"/>
        </w:rPr>
      </w:pPr>
      <w:r>
        <w:rPr>
          <w:rFonts w:hint="eastAsia" w:ascii="宋体" w:hAnsi="宋体" w:eastAsia="宋体" w:cs="宋体"/>
          <w:color w:val="auto"/>
          <w:sz w:val="24"/>
          <w:szCs w:val="48"/>
          <w:shd w:val="clear" w:color="auto" w:fill="auto"/>
          <w:lang w:val="en-US" w:eastAsia="zh-CN"/>
        </w:rPr>
        <w:t>1.初赛：</w:t>
      </w:r>
    </w:p>
    <w:tbl>
      <w:tblPr>
        <w:tblStyle w:val="3"/>
        <w:tblpPr w:leftFromText="180" w:rightFromText="180" w:vertAnchor="text" w:horzAnchor="page" w:tblpX="1897" w:tblpY="183"/>
        <w:tblOverlap w:val="never"/>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3543"/>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评分项目</w:t>
            </w:r>
          </w:p>
        </w:tc>
        <w:tc>
          <w:tcPr>
            <w:tcW w:w="3543" w:type="dxa"/>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项目内容</w:t>
            </w:r>
          </w:p>
        </w:tc>
        <w:tc>
          <w:tcPr>
            <w:tcW w:w="2217" w:type="dxa"/>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所占分值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装饰要素</w:t>
            </w:r>
          </w:p>
        </w:tc>
        <w:tc>
          <w:tcPr>
            <w:tcW w:w="3543" w:type="dxa"/>
          </w:tcPr>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1寝室公约</w:t>
            </w:r>
          </w:p>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2每位</w:t>
            </w:r>
            <w:r>
              <w:rPr>
                <w:rFonts w:hint="eastAsia" w:ascii="宋体" w:hAnsi="宋体" w:cs="宋体"/>
                <w:color w:val="auto"/>
                <w:sz w:val="24"/>
                <w:szCs w:val="48"/>
                <w:shd w:val="clear" w:color="auto" w:fill="auto"/>
                <w:vertAlign w:val="baseline"/>
                <w:lang w:val="en-US" w:eastAsia="zh-CN"/>
              </w:rPr>
              <w:t>宿舍</w:t>
            </w:r>
            <w:r>
              <w:rPr>
                <w:rFonts w:hint="eastAsia" w:ascii="宋体" w:hAnsi="宋体" w:eastAsia="宋体" w:cs="宋体"/>
                <w:color w:val="auto"/>
                <w:sz w:val="24"/>
                <w:szCs w:val="48"/>
                <w:shd w:val="clear" w:color="auto" w:fill="auto"/>
                <w:vertAlign w:val="baseline"/>
                <w:lang w:val="en-US" w:eastAsia="zh-CN"/>
              </w:rPr>
              <w:t>成员的座右铭</w:t>
            </w:r>
          </w:p>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3</w:t>
            </w:r>
            <w:r>
              <w:rPr>
                <w:rFonts w:hint="eastAsia" w:ascii="宋体" w:hAnsi="宋体" w:cs="宋体"/>
                <w:color w:val="auto"/>
                <w:sz w:val="24"/>
                <w:szCs w:val="48"/>
                <w:shd w:val="clear" w:color="auto" w:fill="auto"/>
                <w:vertAlign w:val="baseline"/>
                <w:lang w:val="en-US" w:eastAsia="zh-CN"/>
              </w:rPr>
              <w:t>新中国成立</w:t>
            </w:r>
            <w:r>
              <w:rPr>
                <w:rFonts w:hint="eastAsia" w:ascii="宋体" w:hAnsi="宋体" w:eastAsia="宋体" w:cs="宋体"/>
                <w:color w:val="auto"/>
                <w:sz w:val="24"/>
                <w:szCs w:val="48"/>
                <w:shd w:val="clear" w:color="auto" w:fill="auto"/>
                <w:vertAlign w:val="baseline"/>
                <w:lang w:val="en-US" w:eastAsia="zh-CN"/>
              </w:rPr>
              <w:t>70周年元素</w:t>
            </w:r>
          </w:p>
        </w:tc>
        <w:tc>
          <w:tcPr>
            <w:tcW w:w="2217"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2575" w:type="dxa"/>
            <w:vAlign w:val="center"/>
          </w:tcPr>
          <w:p>
            <w:pPr>
              <w:numPr>
                <w:ilvl w:val="0"/>
                <w:numId w:val="0"/>
              </w:numPr>
              <w:spacing w:line="360" w:lineRule="auto"/>
              <w:jc w:val="center"/>
              <w:rPr>
                <w:rFonts w:hint="eastAsia" w:ascii="宋体" w:hAnsi="宋体" w:eastAsia="宋体" w:cs="宋体"/>
                <w:b w:val="0"/>
                <w:bCs w:val="0"/>
                <w:sz w:val="24"/>
                <w:szCs w:val="48"/>
                <w:vertAlign w:val="baseline"/>
                <w:lang w:val="en-US" w:eastAsia="zh-CN"/>
              </w:rPr>
            </w:pPr>
            <w:r>
              <w:rPr>
                <w:rFonts w:hint="eastAsia" w:ascii="宋体" w:hAnsi="宋体" w:eastAsia="宋体" w:cs="宋体"/>
                <w:b w:val="0"/>
                <w:bCs w:val="0"/>
                <w:sz w:val="24"/>
                <w:szCs w:val="48"/>
                <w:vertAlign w:val="baseline"/>
                <w:lang w:val="en-US" w:eastAsia="zh-CN"/>
              </w:rPr>
              <w:t>美观程度</w:t>
            </w:r>
          </w:p>
        </w:tc>
        <w:tc>
          <w:tcPr>
            <w:tcW w:w="3543" w:type="dxa"/>
          </w:tcPr>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科学地运用美学原理，合理地利用装饰材料，注重居住的舒适性，打造适合大学四年学习和生活的温馨环境。</w:t>
            </w:r>
          </w:p>
        </w:tc>
        <w:tc>
          <w:tcPr>
            <w:tcW w:w="2217"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numPr>
                <w:ilvl w:val="0"/>
                <w:numId w:val="0"/>
              </w:numPr>
              <w:spacing w:line="360" w:lineRule="auto"/>
              <w:ind w:left="0" w:leftChars="0" w:firstLine="0" w:firstLineChars="0"/>
              <w:jc w:val="center"/>
              <w:rPr>
                <w:rFonts w:hint="eastAsia" w:ascii="宋体" w:hAnsi="宋体" w:eastAsia="宋体" w:cs="宋体"/>
                <w:b w:val="0"/>
                <w:bCs w:val="0"/>
                <w:sz w:val="24"/>
                <w:szCs w:val="48"/>
                <w:vertAlign w:val="baseline"/>
                <w:lang w:val="en-US" w:eastAsia="zh-CN"/>
              </w:rPr>
            </w:pPr>
            <w:r>
              <w:rPr>
                <w:rFonts w:hint="eastAsia" w:ascii="宋体" w:hAnsi="宋体" w:eastAsia="宋体" w:cs="宋体"/>
                <w:b w:val="0"/>
                <w:bCs w:val="0"/>
                <w:sz w:val="24"/>
                <w:szCs w:val="48"/>
                <w:vertAlign w:val="baseline"/>
                <w:lang w:val="en-US" w:eastAsia="zh-CN"/>
              </w:rPr>
              <w:t>创新元素</w:t>
            </w:r>
          </w:p>
        </w:tc>
        <w:tc>
          <w:tcPr>
            <w:tcW w:w="3543" w:type="dxa"/>
          </w:tcPr>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b w:val="0"/>
                <w:bCs w:val="0"/>
                <w:sz w:val="24"/>
                <w:szCs w:val="24"/>
                <w:lang w:val="en-US" w:eastAsia="zh-CN"/>
              </w:rPr>
              <w:t>寝室装潢风格中包含如西南交通大学元素如轨道交通等元素，或土木工程学院元素如桥梁、隧道、道路等或有关课程的相关创新元素。</w:t>
            </w:r>
          </w:p>
        </w:tc>
        <w:tc>
          <w:tcPr>
            <w:tcW w:w="2217"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numPr>
                <w:ilvl w:val="0"/>
                <w:numId w:val="0"/>
              </w:numPr>
              <w:spacing w:line="360" w:lineRule="auto"/>
              <w:ind w:left="0" w:leftChars="0" w:firstLine="0" w:firstLineChars="0"/>
              <w:jc w:val="center"/>
              <w:rPr>
                <w:rFonts w:hint="eastAsia" w:ascii="宋体" w:hAnsi="宋体" w:eastAsia="宋体" w:cs="宋体"/>
                <w:b w:val="0"/>
                <w:bCs w:val="0"/>
                <w:sz w:val="24"/>
                <w:szCs w:val="48"/>
                <w:vertAlign w:val="baseline"/>
                <w:lang w:val="en-US" w:eastAsia="zh-CN"/>
              </w:rPr>
            </w:pPr>
            <w:r>
              <w:rPr>
                <w:rFonts w:hint="eastAsia" w:ascii="宋体" w:hAnsi="宋体" w:eastAsia="宋体" w:cs="宋体"/>
                <w:b w:val="0"/>
                <w:bCs w:val="0"/>
                <w:sz w:val="24"/>
                <w:szCs w:val="48"/>
                <w:vertAlign w:val="baseline"/>
                <w:lang w:val="en-US" w:eastAsia="zh-CN"/>
              </w:rPr>
              <w:t>用心程度</w:t>
            </w:r>
          </w:p>
        </w:tc>
        <w:tc>
          <w:tcPr>
            <w:tcW w:w="3543" w:type="dxa"/>
          </w:tcPr>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寝室装潢细节的细致程度以及装潢完成度。</w:t>
            </w:r>
          </w:p>
        </w:tc>
        <w:tc>
          <w:tcPr>
            <w:tcW w:w="2217"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575"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b w:val="0"/>
                <w:bCs w:val="0"/>
                <w:sz w:val="24"/>
                <w:szCs w:val="48"/>
                <w:vertAlign w:val="baseline"/>
                <w:lang w:val="en-US" w:eastAsia="zh-CN"/>
              </w:rPr>
              <w:t>整体氛围</w:t>
            </w:r>
          </w:p>
        </w:tc>
        <w:tc>
          <w:tcPr>
            <w:tcW w:w="3543" w:type="dxa"/>
          </w:tcPr>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cs="宋体"/>
                <w:color w:val="auto"/>
                <w:sz w:val="24"/>
                <w:szCs w:val="48"/>
                <w:shd w:val="clear" w:color="auto" w:fill="auto"/>
                <w:vertAlign w:val="baseline"/>
                <w:lang w:val="en-US" w:eastAsia="zh-CN"/>
              </w:rPr>
              <w:t>宿舍</w:t>
            </w:r>
            <w:r>
              <w:rPr>
                <w:rFonts w:hint="eastAsia" w:ascii="宋体" w:hAnsi="宋体" w:eastAsia="宋体" w:cs="宋体"/>
                <w:color w:val="auto"/>
                <w:sz w:val="24"/>
                <w:szCs w:val="48"/>
                <w:shd w:val="clear" w:color="auto" w:fill="auto"/>
                <w:vertAlign w:val="baseline"/>
                <w:lang w:val="en-US" w:eastAsia="zh-CN"/>
              </w:rPr>
              <w:t>文化氛围积极向上，无张贴不正当、不积极的言论或图片，寝室成员相处融洽。</w:t>
            </w:r>
          </w:p>
        </w:tc>
        <w:tc>
          <w:tcPr>
            <w:tcW w:w="2217"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numPr>
                <w:ilvl w:val="0"/>
                <w:numId w:val="0"/>
              </w:numPr>
              <w:spacing w:line="360" w:lineRule="auto"/>
              <w:jc w:val="center"/>
              <w:rPr>
                <w:rFonts w:hint="eastAsia" w:ascii="宋体" w:hAnsi="宋体" w:eastAsia="宋体" w:cs="宋体"/>
                <w:b w:val="0"/>
                <w:bCs w:val="0"/>
                <w:sz w:val="24"/>
                <w:szCs w:val="48"/>
                <w:vertAlign w:val="baseline"/>
                <w:lang w:val="en-US" w:eastAsia="zh-CN"/>
              </w:rPr>
            </w:pPr>
            <w:r>
              <w:rPr>
                <w:rFonts w:hint="eastAsia" w:ascii="宋体" w:hAnsi="宋体" w:eastAsia="宋体" w:cs="宋体"/>
                <w:b w:val="0"/>
                <w:bCs w:val="0"/>
                <w:sz w:val="24"/>
                <w:szCs w:val="48"/>
                <w:vertAlign w:val="baseline"/>
                <w:lang w:val="en-US" w:eastAsia="zh-CN"/>
              </w:rPr>
              <w:t>卫生情况</w:t>
            </w:r>
          </w:p>
        </w:tc>
        <w:tc>
          <w:tcPr>
            <w:tcW w:w="3543" w:type="dxa"/>
          </w:tcPr>
          <w:p>
            <w:pPr>
              <w:numPr>
                <w:ilvl w:val="0"/>
                <w:numId w:val="0"/>
              </w:numPr>
              <w:spacing w:line="360" w:lineRule="auto"/>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根据《</w:t>
            </w:r>
            <w:r>
              <w:rPr>
                <w:rFonts w:ascii="宋体" w:hAnsi="宋体" w:eastAsia="宋体" w:cs="宋体"/>
                <w:sz w:val="24"/>
                <w:szCs w:val="24"/>
              </w:rPr>
              <w:t>土木工程学院</w:t>
            </w:r>
            <w:r>
              <w:rPr>
                <w:rFonts w:hint="eastAsia" w:ascii="宋体" w:hAnsi="宋体" w:cs="宋体"/>
                <w:sz w:val="24"/>
                <w:szCs w:val="24"/>
                <w:lang w:val="en-US" w:eastAsia="zh-CN"/>
              </w:rPr>
              <w:t>文明宿舍评选管理办法</w:t>
            </w:r>
            <w:bookmarkStart w:id="0" w:name="_GoBack"/>
            <w:bookmarkEnd w:id="0"/>
            <w:r>
              <w:rPr>
                <w:rFonts w:hint="eastAsia" w:ascii="宋体" w:hAnsi="宋体" w:eastAsia="宋体" w:cs="宋体"/>
                <w:color w:val="auto"/>
                <w:sz w:val="24"/>
                <w:szCs w:val="48"/>
                <w:shd w:val="clear" w:color="auto" w:fill="auto"/>
                <w:vertAlign w:val="baseline"/>
                <w:lang w:val="en-US" w:eastAsia="zh-CN"/>
              </w:rPr>
              <w:t>》评定。</w:t>
            </w:r>
          </w:p>
        </w:tc>
        <w:tc>
          <w:tcPr>
            <w:tcW w:w="2217" w:type="dxa"/>
            <w:vAlign w:val="center"/>
          </w:tcPr>
          <w:p>
            <w:pPr>
              <w:numPr>
                <w:ilvl w:val="0"/>
                <w:numId w:val="0"/>
              </w:numPr>
              <w:spacing w:line="360" w:lineRule="auto"/>
              <w:jc w:val="center"/>
              <w:rPr>
                <w:rFonts w:hint="eastAsia" w:ascii="宋体" w:hAnsi="宋体" w:eastAsia="宋体" w:cs="宋体"/>
                <w:color w:val="auto"/>
                <w:sz w:val="24"/>
                <w:szCs w:val="48"/>
                <w:shd w:val="clear" w:color="auto" w:fill="auto"/>
                <w:vertAlign w:val="baseline"/>
                <w:lang w:val="en-US" w:eastAsia="zh-CN"/>
              </w:rPr>
            </w:pPr>
            <w:r>
              <w:rPr>
                <w:rFonts w:hint="eastAsia" w:ascii="宋体" w:hAnsi="宋体" w:eastAsia="宋体" w:cs="宋体"/>
                <w:color w:val="auto"/>
                <w:sz w:val="24"/>
                <w:szCs w:val="48"/>
                <w:shd w:val="clear" w:color="auto" w:fill="auto"/>
                <w:vertAlign w:val="baseline"/>
                <w:lang w:val="en-US" w:eastAsia="zh-CN"/>
              </w:rPr>
              <w:t>10</w:t>
            </w:r>
          </w:p>
        </w:tc>
      </w:tr>
    </w:tbl>
    <w:p>
      <w:pPr>
        <w:numPr>
          <w:ilvl w:val="0"/>
          <w:numId w:val="0"/>
        </w:numPr>
        <w:spacing w:line="360" w:lineRule="auto"/>
        <w:ind w:firstLine="480" w:firstLineChars="200"/>
        <w:rPr>
          <w:rFonts w:hint="eastAsia" w:ascii="宋体" w:hAnsi="宋体" w:eastAsia="宋体" w:cs="宋体"/>
          <w:sz w:val="24"/>
          <w:szCs w:val="48"/>
          <w:lang w:val="en-US" w:eastAsia="zh-CN"/>
        </w:rPr>
      </w:pPr>
      <w:r>
        <w:rPr>
          <w:rFonts w:hint="eastAsia" w:ascii="宋体" w:hAnsi="宋体" w:eastAsia="宋体" w:cs="宋体"/>
          <w:sz w:val="24"/>
          <w:szCs w:val="48"/>
          <w:lang w:val="en-US" w:eastAsia="zh-CN"/>
        </w:rPr>
        <w:t>2.决赛：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线上投票占5%，亲友团参与度占</w:t>
      </w: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lang w:val="en-US" w:eastAsia="zh-CN"/>
          <w14:textFill>
            <w14:solidFill>
              <w14:schemeClr w14:val="tx1"/>
            </w14:solidFill>
          </w14:textFill>
        </w:rPr>
        <w:t>%，初赛分数占</w:t>
      </w:r>
      <w:r>
        <w:rPr>
          <w:rFonts w:hint="eastAsia" w:ascii="宋体" w:hAnsi="宋体" w:cs="宋体"/>
          <w:b w:val="0"/>
          <w:bCs w:val="0"/>
          <w:color w:val="000000" w:themeColor="text1"/>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%，评委现场打分占60%。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8"/>
          <w:szCs w:val="28"/>
          <w:lang w:val="en-US" w:eastAsia="zh-CN"/>
        </w:rPr>
      </w:pP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sz w:val="28"/>
          <w:szCs w:val="28"/>
          <w:lang w:val="en-US" w:eastAsia="zh-CN"/>
        </w:rPr>
        <w:t>奖项设置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一等奖（3个）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二等奖（4个）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三等奖（5个）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优胜奖（3个）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最佳班级组织奖（3个）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优秀导师奖（</w:t>
      </w:r>
      <w:r>
        <w:rPr>
          <w:rFonts w:hint="eastAsia" w:ascii="宋体" w:hAnsi="宋体" w:eastAsia="宋体" w:cs="宋体"/>
          <w:sz w:val="24"/>
          <w:szCs w:val="24"/>
          <w:lang w:val="en-US" w:eastAsia="zh-CN"/>
        </w:rPr>
        <w:t>一等奖</w:t>
      </w:r>
      <w:r>
        <w:rPr>
          <w:rFonts w:hint="eastAsia" w:ascii="宋体" w:hAnsi="宋体" w:cs="宋体"/>
          <w:sz w:val="24"/>
          <w:szCs w:val="24"/>
          <w:lang w:val="en-US" w:eastAsia="zh-CN"/>
        </w:rPr>
        <w:t>2个，</w:t>
      </w:r>
      <w:r>
        <w:rPr>
          <w:rFonts w:hint="eastAsia" w:ascii="宋体" w:hAnsi="宋体" w:eastAsia="宋体" w:cs="宋体"/>
          <w:sz w:val="24"/>
          <w:szCs w:val="24"/>
          <w:lang w:val="en-US" w:eastAsia="zh-CN"/>
        </w:rPr>
        <w:t>二等奖</w:t>
      </w:r>
      <w:r>
        <w:rPr>
          <w:rFonts w:hint="eastAsia" w:ascii="宋体" w:hAnsi="宋体" w:cs="宋体"/>
          <w:sz w:val="24"/>
          <w:szCs w:val="24"/>
          <w:lang w:val="en-US" w:eastAsia="zh-CN"/>
        </w:rPr>
        <w:t>3个，</w:t>
      </w:r>
      <w:r>
        <w:rPr>
          <w:rFonts w:hint="eastAsia" w:ascii="宋体" w:hAnsi="宋体" w:eastAsia="宋体" w:cs="宋体"/>
          <w:sz w:val="24"/>
          <w:szCs w:val="24"/>
          <w:lang w:val="en-US" w:eastAsia="zh-CN"/>
        </w:rPr>
        <w:t>三等奖</w:t>
      </w:r>
      <w:r>
        <w:rPr>
          <w:rFonts w:hint="eastAsia" w:ascii="宋体" w:hAnsi="宋体" w:cs="宋体"/>
          <w:sz w:val="24"/>
          <w:szCs w:val="24"/>
          <w:lang w:val="en-US" w:eastAsia="zh-CN"/>
        </w:rPr>
        <w:t>3个）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48"/>
          <w:lang w:val="en-US" w:eastAsia="zh-CN"/>
        </w:rPr>
        <w:t>（最佳班级组织奖颁发给班级整体装饰效果最好或主题理念最统一的班级，以此用来鼓励班级统一一个设计理念和方案，做成一个系列成果。）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417F6"/>
    <w:rsid w:val="179D20F4"/>
    <w:rsid w:val="1D504644"/>
    <w:rsid w:val="68816A1E"/>
    <w:rsid w:val="741D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2019-09-23T04:15:00Z</dcterms:created>
  <dc:creator>李连逸</dc:creator>
  <cp:lastModifiedBy>一笑置之</cp:lastModifiedBy>
  <dcterms:modified xsi:type="dcterms:W3CDTF">2019-09-24T00:08:10Z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